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D307B"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38B9AF62"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468A0E21"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394CE56D"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35264E79" w14:textId="77777777">
        <w:tc>
          <w:tcPr>
            <w:tcW w:w="3060" w:type="dxa"/>
          </w:tcPr>
          <w:p w14:paraId="560A4D7B"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644B3B14"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E934FA">
              <w:rPr>
                <w:sz w:val="24"/>
                <w:szCs w:val="24"/>
              </w:rPr>
              <w:t>or a Key Subcontractor</w:t>
            </w:r>
            <w:r w:rsidRPr="00D417E2">
              <w:rPr>
                <w:sz w:val="24"/>
                <w:szCs w:val="24"/>
              </w:rPr>
              <w:t>] in the provision of the Deliverables;</w:t>
            </w:r>
          </w:p>
        </w:tc>
      </w:tr>
      <w:tr w:rsidR="006C4CF6" w:rsidRPr="00D417E2" w14:paraId="12D95D5E" w14:textId="77777777">
        <w:tc>
          <w:tcPr>
            <w:tcW w:w="3060" w:type="dxa"/>
          </w:tcPr>
          <w:p w14:paraId="199D5A7E"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44A541C8"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4F10D003" w14:textId="77777777">
        <w:tc>
          <w:tcPr>
            <w:tcW w:w="3060" w:type="dxa"/>
          </w:tcPr>
          <w:p w14:paraId="37DF8C1B"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160EC10D"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75037644" w14:textId="77777777">
        <w:tc>
          <w:tcPr>
            <w:tcW w:w="3060" w:type="dxa"/>
          </w:tcPr>
          <w:p w14:paraId="5308D715"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15303239" w14:textId="77777777" w:rsidR="006C4CF6" w:rsidRPr="00E934FA" w:rsidRDefault="00A46384" w:rsidP="00E644F8">
            <w:pPr>
              <w:pStyle w:val="GPsDefinition"/>
              <w:jc w:val="left"/>
              <w:rPr>
                <w:sz w:val="24"/>
                <w:szCs w:val="24"/>
              </w:rPr>
            </w:pPr>
            <w:r w:rsidRPr="00E934FA">
              <w:rPr>
                <w:sz w:val="24"/>
                <w:szCs w:val="24"/>
              </w:rPr>
              <w:t xml:space="preserve">the current net book value of the relevant Supplier Asset(s) calculated in accordance with the </w:t>
            </w:r>
            <w:r w:rsidR="00E644F8" w:rsidRPr="00E934FA">
              <w:rPr>
                <w:sz w:val="24"/>
                <w:szCs w:val="24"/>
              </w:rPr>
              <w:t>DPS Application</w:t>
            </w:r>
            <w:r w:rsidRPr="00E934FA">
              <w:rPr>
                <w:sz w:val="24"/>
                <w:szCs w:val="24"/>
              </w:rPr>
              <w:t xml:space="preserve"> or </w:t>
            </w:r>
            <w:r w:rsidR="00E644F8" w:rsidRPr="00E934FA">
              <w:rPr>
                <w:sz w:val="24"/>
                <w:szCs w:val="24"/>
              </w:rPr>
              <w:t>Order</w:t>
            </w:r>
            <w:r w:rsidRPr="00E934FA">
              <w:rPr>
                <w:sz w:val="24"/>
                <w:szCs w:val="24"/>
              </w:rPr>
              <w:t xml:space="preserve"> Tender (if stated) or (if not stated) the depreciation policy of the Supplier (which the Supplier shall ensure is in accordance with Good Industry Practice);</w:t>
            </w:r>
          </w:p>
        </w:tc>
      </w:tr>
      <w:tr w:rsidR="006C4CF6" w:rsidRPr="00D417E2" w14:paraId="4770A261" w14:textId="77777777">
        <w:tc>
          <w:tcPr>
            <w:tcW w:w="3060" w:type="dxa"/>
          </w:tcPr>
          <w:p w14:paraId="20DD0C6F"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5B32D05F" w14:textId="77777777" w:rsidR="006C4CF6" w:rsidRPr="00E934FA" w:rsidRDefault="00A46384" w:rsidP="00E13C6E">
            <w:pPr>
              <w:pStyle w:val="GPsDefinition"/>
              <w:jc w:val="left"/>
              <w:rPr>
                <w:sz w:val="24"/>
                <w:szCs w:val="24"/>
              </w:rPr>
            </w:pPr>
            <w:r w:rsidRPr="00E934FA">
              <w:rPr>
                <w:sz w:val="24"/>
                <w:szCs w:val="24"/>
              </w:rPr>
              <w:t>those Suppli</w:t>
            </w:r>
            <w:r w:rsidR="00D417E2" w:rsidRPr="00E934FA">
              <w:rPr>
                <w:sz w:val="24"/>
                <w:szCs w:val="24"/>
              </w:rPr>
              <w:t xml:space="preserve">er Assets used by the Supplier [or a </w:t>
            </w:r>
            <w:r w:rsidRPr="00E934FA">
              <w:rPr>
                <w:sz w:val="24"/>
                <w:szCs w:val="24"/>
              </w:rPr>
              <w:t>Key Subcontractor] in connection with the Deliverables but which are also used by the Supplier</w:t>
            </w:r>
            <w:r w:rsidR="00D417E2" w:rsidRPr="00E934FA">
              <w:rPr>
                <w:sz w:val="24"/>
                <w:szCs w:val="24"/>
              </w:rPr>
              <w:t xml:space="preserve"> [</w:t>
            </w:r>
            <w:r w:rsidRPr="00E934FA">
              <w:rPr>
                <w:sz w:val="24"/>
                <w:szCs w:val="24"/>
              </w:rPr>
              <w:t>or Key Subcontractor] for other purposes;</w:t>
            </w:r>
          </w:p>
        </w:tc>
      </w:tr>
      <w:tr w:rsidR="006C4CF6" w:rsidRPr="00D417E2" w14:paraId="62B8309C" w14:textId="77777777">
        <w:tc>
          <w:tcPr>
            <w:tcW w:w="3060" w:type="dxa"/>
          </w:tcPr>
          <w:p w14:paraId="47124339"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22A9AF56" w14:textId="77777777" w:rsidR="006C4CF6" w:rsidRPr="00E934FA" w:rsidRDefault="00A46384" w:rsidP="00E13C6E">
            <w:pPr>
              <w:pStyle w:val="GPsDefinition"/>
              <w:jc w:val="left"/>
              <w:rPr>
                <w:sz w:val="24"/>
                <w:szCs w:val="24"/>
              </w:rPr>
            </w:pPr>
            <w:r w:rsidRPr="00E934FA">
              <w:rPr>
                <w:sz w:val="24"/>
                <w:szCs w:val="24"/>
              </w:rPr>
              <w:t xml:space="preserve">the register and configuration database referred to in Paragraph </w:t>
            </w:r>
            <w:r w:rsidRPr="00E934FA">
              <w:rPr>
                <w:sz w:val="24"/>
                <w:szCs w:val="24"/>
              </w:rPr>
              <w:fldChar w:fldCharType="begin"/>
            </w:r>
            <w:r w:rsidRPr="00E934FA">
              <w:rPr>
                <w:sz w:val="24"/>
                <w:szCs w:val="24"/>
              </w:rPr>
              <w:instrText xml:space="preserve"> REF _Ref492660626 \r \h </w:instrText>
            </w:r>
            <w:r w:rsidR="00D417E2" w:rsidRPr="00E934FA">
              <w:rPr>
                <w:sz w:val="24"/>
                <w:szCs w:val="24"/>
              </w:rPr>
              <w:instrText xml:space="preserve"> \* MERGEFORMAT </w:instrText>
            </w:r>
            <w:r w:rsidRPr="00E934FA">
              <w:rPr>
                <w:sz w:val="24"/>
                <w:szCs w:val="24"/>
              </w:rPr>
            </w:r>
            <w:r w:rsidRPr="00E934FA">
              <w:rPr>
                <w:sz w:val="24"/>
                <w:szCs w:val="24"/>
              </w:rPr>
              <w:fldChar w:fldCharType="separate"/>
            </w:r>
            <w:r w:rsidRPr="00E934FA">
              <w:rPr>
                <w:sz w:val="24"/>
                <w:szCs w:val="24"/>
              </w:rPr>
              <w:t>2.2</w:t>
            </w:r>
            <w:r w:rsidRPr="00E934FA">
              <w:rPr>
                <w:sz w:val="24"/>
                <w:szCs w:val="24"/>
              </w:rPr>
              <w:fldChar w:fldCharType="end"/>
            </w:r>
            <w:r w:rsidRPr="00E934FA">
              <w:rPr>
                <w:sz w:val="24"/>
                <w:szCs w:val="24"/>
              </w:rPr>
              <w:t xml:space="preserve"> of this Schedule; </w:t>
            </w:r>
          </w:p>
        </w:tc>
      </w:tr>
      <w:tr w:rsidR="006C4CF6" w:rsidRPr="00D417E2" w14:paraId="56729ED9" w14:textId="77777777">
        <w:tc>
          <w:tcPr>
            <w:tcW w:w="3060" w:type="dxa"/>
          </w:tcPr>
          <w:p w14:paraId="4F2DBD9E"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28D03449"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79C1A96C" w14:textId="77777777">
        <w:tc>
          <w:tcPr>
            <w:tcW w:w="3060" w:type="dxa"/>
          </w:tcPr>
          <w:p w14:paraId="0644CBDE"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184DBFBE"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2AB56F42" w14:textId="77777777">
        <w:tc>
          <w:tcPr>
            <w:tcW w:w="3060" w:type="dxa"/>
          </w:tcPr>
          <w:p w14:paraId="158D866E"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716AD68A"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186A94F9" w14:textId="77777777">
        <w:tc>
          <w:tcPr>
            <w:tcW w:w="3060" w:type="dxa"/>
          </w:tcPr>
          <w:p w14:paraId="0D7A0C06"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1E2BFBE0"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6134487B" w14:textId="77777777">
        <w:tc>
          <w:tcPr>
            <w:tcW w:w="3060" w:type="dxa"/>
          </w:tcPr>
          <w:p w14:paraId="4BE1CAB4"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302A48B6"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766F3CCD" w14:textId="77777777">
        <w:tc>
          <w:tcPr>
            <w:tcW w:w="3060" w:type="dxa"/>
          </w:tcPr>
          <w:p w14:paraId="2DCD72C6"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3DB8D279"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20451FFF" w14:textId="77777777">
        <w:tc>
          <w:tcPr>
            <w:tcW w:w="3060" w:type="dxa"/>
          </w:tcPr>
          <w:p w14:paraId="247C844D"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57EC5351"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3EA355F" w14:textId="77777777">
        <w:tc>
          <w:tcPr>
            <w:tcW w:w="3060" w:type="dxa"/>
          </w:tcPr>
          <w:p w14:paraId="16E93DC0"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0CF2A680"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1FC00A16" w14:textId="77777777">
        <w:tc>
          <w:tcPr>
            <w:tcW w:w="3060" w:type="dxa"/>
          </w:tcPr>
          <w:p w14:paraId="5B0E522E"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4F73924A"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254FA25E"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7B14C8B6"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6764E2C7"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245CE574"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1ADB61F8"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6D4A1DDD"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4F689F05"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7BA966D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2CDB591E"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75F6960F"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0FE7A634"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44DFC9F8"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85407F5"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2AC22C2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7625A2F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1CE90DA2"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33BCD319"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6DFB385A"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59ADBF78"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7997324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387116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657CE3F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03435D2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4A590E1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557D497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4277456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74AF241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7E094B3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45987A2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05929139"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62D9D886"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5A547BF2" w14:textId="33069321" w:rsidR="006C4CF6" w:rsidRPr="00E934FA"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E934FA">
        <w:rPr>
          <w:rFonts w:ascii="Arial" w:hAnsi="Arial"/>
          <w:sz w:val="24"/>
          <w:szCs w:val="24"/>
        </w:rPr>
        <w:t>six (6) months throughout the Contract Period; and</w:t>
      </w:r>
    </w:p>
    <w:p w14:paraId="7623E900" w14:textId="3B65C08B" w:rsidR="006C4CF6" w:rsidRPr="00E934FA" w:rsidRDefault="00A46384" w:rsidP="00E13C6E">
      <w:pPr>
        <w:pStyle w:val="GPSL4numberedclause"/>
        <w:jc w:val="left"/>
        <w:rPr>
          <w:rFonts w:ascii="Arial" w:hAnsi="Arial"/>
          <w:sz w:val="24"/>
          <w:szCs w:val="24"/>
        </w:rPr>
      </w:pPr>
      <w:bookmarkStart w:id="21" w:name="_Ref181034216"/>
      <w:r w:rsidRPr="00E934FA">
        <w:rPr>
          <w:rFonts w:ascii="Arial" w:hAnsi="Arial"/>
          <w:sz w:val="24"/>
          <w:szCs w:val="24"/>
        </w:rPr>
        <w:t>no later than twenty (20) Working Days</w:t>
      </w:r>
      <w:r w:rsidR="00E934FA" w:rsidRPr="00E934FA">
        <w:rPr>
          <w:rFonts w:ascii="Arial" w:hAnsi="Arial"/>
          <w:sz w:val="24"/>
          <w:szCs w:val="24"/>
        </w:rPr>
        <w:t xml:space="preserve"> </w:t>
      </w:r>
      <w:r w:rsidRPr="00E934FA">
        <w:rPr>
          <w:rFonts w:ascii="Arial" w:hAnsi="Arial"/>
          <w:sz w:val="24"/>
          <w:szCs w:val="24"/>
        </w:rPr>
        <w:t xml:space="preserve">after a request from the Buyer for an up-to-date copy of the Exit Plan; </w:t>
      </w:r>
    </w:p>
    <w:p w14:paraId="5AAE8907" w14:textId="767D5A0B" w:rsidR="006C4CF6" w:rsidRPr="00E934FA" w:rsidRDefault="00A46384" w:rsidP="00E13C6E">
      <w:pPr>
        <w:pStyle w:val="GPSL4numberedclause"/>
        <w:jc w:val="left"/>
        <w:rPr>
          <w:rFonts w:ascii="Arial" w:hAnsi="Arial"/>
          <w:sz w:val="24"/>
          <w:szCs w:val="24"/>
        </w:rPr>
      </w:pPr>
      <w:r w:rsidRPr="00E934FA">
        <w:rPr>
          <w:rFonts w:ascii="Arial" w:hAnsi="Arial"/>
          <w:sz w:val="24"/>
          <w:szCs w:val="24"/>
        </w:rPr>
        <w:t>as soon as reasonably possible following a Termination Assistance Notice, and in any event no later than ten (10) Working Days after the date of the Termination Assistance Notice;</w:t>
      </w:r>
    </w:p>
    <w:p w14:paraId="74CBBE43" w14:textId="535BEB8E"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w:t>
      </w:r>
      <w:r w:rsidRPr="00E934FA">
        <w:rPr>
          <w:rFonts w:ascii="Arial" w:hAnsi="Arial"/>
          <w:sz w:val="24"/>
          <w:szCs w:val="24"/>
        </w:rPr>
        <w:t>than twenty (20) Working Days</w:t>
      </w:r>
      <w:r w:rsidRPr="00D417E2">
        <w:rPr>
          <w:rFonts w:ascii="Arial" w:hAnsi="Arial"/>
          <w:sz w:val="24"/>
          <w:szCs w:val="24"/>
        </w:rPr>
        <w:t xml:space="preserve"> following, any material change to the Deliverables (including all changes under the Variation Procedure)</w:t>
      </w:r>
      <w:bookmarkEnd w:id="21"/>
      <w:r w:rsidRPr="00D417E2">
        <w:rPr>
          <w:rFonts w:ascii="Arial" w:hAnsi="Arial"/>
          <w:sz w:val="24"/>
          <w:szCs w:val="24"/>
        </w:rPr>
        <w:t xml:space="preserve">; and  </w:t>
      </w:r>
    </w:p>
    <w:p w14:paraId="474EFFA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3CB3B36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54F6D75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1CB07C7A"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39A4138F"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668F3A7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1FC338E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1F69F26C"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3E85D52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2F50052D"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2BE3636B"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4D69D21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6FACB9FA"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067A9ED"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33EEB78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68045684"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0977EBE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58A2EB77"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7D30248B"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3AF6F36A"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2EE4FA5B"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21654E86"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46823FE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0DD93C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61DFE514"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65640DA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4A6B9967"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1CE8DBF0"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2C4A3FA9"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3778F616"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36856C9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37A43C2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32A41602"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5BED17E7"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31BAD634"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67B86833"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2882482B"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291752B8"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7ECD200D"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1E53904E"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06D3C44D"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051E67C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7A804B21"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26CF2B4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74BBE0B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66A7ABFB"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497DB9B0"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7749784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5898A98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73ACFA4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4E0B871C"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2B4B11EB"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79FB288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334FB4AA"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13D2B8F3"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160DF7E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30ED1B0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1332FD3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2629E640" w14:textId="77777777" w:rsidR="006C4CF6" w:rsidRPr="00D417E2" w:rsidRDefault="006C4CF6" w:rsidP="00E13C6E">
      <w:pPr>
        <w:rPr>
          <w:rFonts w:ascii="Arial" w:hAnsi="Arial" w:cs="Arial"/>
          <w:sz w:val="24"/>
          <w:szCs w:val="24"/>
        </w:rPr>
      </w:pPr>
    </w:p>
    <w:p w14:paraId="3072FDF7"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even"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C5F2C" w14:textId="77777777" w:rsidR="006911E5" w:rsidRDefault="006911E5">
      <w:pPr>
        <w:spacing w:after="0" w:line="240" w:lineRule="auto"/>
      </w:pPr>
      <w:r>
        <w:separator/>
      </w:r>
    </w:p>
  </w:endnote>
  <w:endnote w:type="continuationSeparator" w:id="0">
    <w:p w14:paraId="782622FE" w14:textId="77777777" w:rsidR="006911E5" w:rsidRDefault="0069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STZhongsong">
    <w:altName w:val="Arial Unicode M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8AE92" w14:textId="4E0EF21C" w:rsidR="00E934FA" w:rsidRDefault="00E934FA">
    <w:pPr>
      <w:pStyle w:val="Footer"/>
    </w:pPr>
    <w:r>
      <w:rPr>
        <w:noProof/>
      </w:rPr>
      <mc:AlternateContent>
        <mc:Choice Requires="wps">
          <w:drawing>
            <wp:anchor distT="0" distB="0" distL="0" distR="0" simplePos="0" relativeHeight="251659264" behindDoc="0" locked="0" layoutInCell="1" allowOverlap="1" wp14:anchorId="2E6AF1D1" wp14:editId="59F9D5B4">
              <wp:simplePos x="635" y="635"/>
              <wp:positionH relativeFrom="page">
                <wp:align>center</wp:align>
              </wp:positionH>
              <wp:positionV relativeFrom="page">
                <wp:align>bottom</wp:align>
              </wp:positionV>
              <wp:extent cx="459740" cy="368935"/>
              <wp:effectExtent l="0" t="0" r="16510" b="0"/>
              <wp:wrapNone/>
              <wp:docPr id="875118449"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E3DD64D" w14:textId="25533F7C" w:rsidR="00E934FA" w:rsidRPr="00E934FA" w:rsidRDefault="00E934FA" w:rsidP="00E934FA">
                          <w:pPr>
                            <w:spacing w:after="0"/>
                            <w:rPr>
                              <w:rFonts w:ascii="Calibri" w:eastAsia="Calibri" w:hAnsi="Calibri" w:cs="Calibri"/>
                              <w:noProof/>
                              <w:color w:val="000000"/>
                              <w:sz w:val="20"/>
                              <w:szCs w:val="20"/>
                            </w:rPr>
                          </w:pPr>
                          <w:r w:rsidRPr="00E934F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6AF1D1"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GSrcvs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7E3DD64D" w14:textId="25533F7C" w:rsidR="00E934FA" w:rsidRPr="00E934FA" w:rsidRDefault="00E934FA" w:rsidP="00E934FA">
                    <w:pPr>
                      <w:spacing w:after="0"/>
                      <w:rPr>
                        <w:rFonts w:ascii="Calibri" w:eastAsia="Calibri" w:hAnsi="Calibri" w:cs="Calibri"/>
                        <w:noProof/>
                        <w:color w:val="000000"/>
                        <w:sz w:val="20"/>
                        <w:szCs w:val="20"/>
                      </w:rPr>
                    </w:pPr>
                    <w:r w:rsidRPr="00E934FA">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A631D" w14:textId="663416FD" w:rsidR="00F309B3" w:rsidRDefault="00E934FA" w:rsidP="00FB41BB">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7762D980" wp14:editId="7F02FF33">
              <wp:simplePos x="914400" y="9639300"/>
              <wp:positionH relativeFrom="page">
                <wp:align>center</wp:align>
              </wp:positionH>
              <wp:positionV relativeFrom="page">
                <wp:align>bottom</wp:align>
              </wp:positionV>
              <wp:extent cx="459740" cy="368935"/>
              <wp:effectExtent l="0" t="0" r="16510" b="0"/>
              <wp:wrapNone/>
              <wp:docPr id="472715768"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93B3480" w14:textId="0F59D650" w:rsidR="00E934FA" w:rsidRPr="00E934FA" w:rsidRDefault="00E934FA" w:rsidP="00E934FA">
                          <w:pPr>
                            <w:spacing w:after="0"/>
                            <w:rPr>
                              <w:rFonts w:ascii="Calibri" w:eastAsia="Calibri" w:hAnsi="Calibri" w:cs="Calibri"/>
                              <w:noProof/>
                              <w:color w:val="000000"/>
                              <w:sz w:val="20"/>
                              <w:szCs w:val="20"/>
                            </w:rPr>
                          </w:pPr>
                          <w:r w:rsidRPr="00E934F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62D980"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fill o:detectmouseclick="t"/>
              <v:textbox style="mso-fit-shape-to-text:t" inset="0,0,0,15pt">
                <w:txbxContent>
                  <w:p w14:paraId="193B3480" w14:textId="0F59D650" w:rsidR="00E934FA" w:rsidRPr="00E934FA" w:rsidRDefault="00E934FA" w:rsidP="00E934FA">
                    <w:pPr>
                      <w:spacing w:after="0"/>
                      <w:rPr>
                        <w:rFonts w:ascii="Calibri" w:eastAsia="Calibri" w:hAnsi="Calibri" w:cs="Calibri"/>
                        <w:noProof/>
                        <w:color w:val="000000"/>
                        <w:sz w:val="20"/>
                        <w:szCs w:val="20"/>
                      </w:rPr>
                    </w:pPr>
                    <w:r w:rsidRPr="00E934FA">
                      <w:rPr>
                        <w:rFonts w:ascii="Calibri" w:eastAsia="Calibri" w:hAnsi="Calibri" w:cs="Calibri"/>
                        <w:noProof/>
                        <w:color w:val="000000"/>
                        <w:sz w:val="20"/>
                        <w:szCs w:val="20"/>
                      </w:rPr>
                      <w:t>OFFICIAL</w:t>
                    </w:r>
                  </w:p>
                </w:txbxContent>
              </v:textbox>
              <w10:wrap anchorx="page" anchory="page"/>
            </v:shape>
          </w:pict>
        </mc:Fallback>
      </mc:AlternateContent>
    </w:r>
  </w:p>
  <w:p w14:paraId="78A92A1F"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0CC1D842"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03920C29"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D1FC3" w14:textId="7771B229" w:rsidR="00F309B3" w:rsidRPr="00711F0E" w:rsidRDefault="00E934FA" w:rsidP="008B613F">
    <w:pPr>
      <w:tabs>
        <w:tab w:val="center" w:pos="4513"/>
        <w:tab w:val="right" w:pos="9026"/>
      </w:tabs>
      <w:spacing w:after="0"/>
      <w:rPr>
        <w:rFonts w:ascii="Arial" w:eastAsia="Calibri" w:hAnsi="Arial" w:cs="Arial"/>
        <w:color w:val="A6A6A6" w:themeColor="background1" w:themeShade="A6"/>
        <w:sz w:val="20"/>
      </w:rPr>
    </w:pPr>
    <w:r>
      <w:rPr>
        <w:rFonts w:ascii="Arial" w:eastAsia="Calibri" w:hAnsi="Arial" w:cs="Arial"/>
        <w:noProof/>
        <w:color w:val="A6A6A6" w:themeColor="background1" w:themeShade="A6"/>
        <w:sz w:val="20"/>
      </w:rPr>
      <mc:AlternateContent>
        <mc:Choice Requires="wps">
          <w:drawing>
            <wp:anchor distT="0" distB="0" distL="0" distR="0" simplePos="0" relativeHeight="251658240" behindDoc="0" locked="0" layoutInCell="1" allowOverlap="1" wp14:anchorId="5FCCD10B" wp14:editId="0384DE16">
              <wp:simplePos x="635" y="635"/>
              <wp:positionH relativeFrom="page">
                <wp:align>center</wp:align>
              </wp:positionH>
              <wp:positionV relativeFrom="page">
                <wp:align>bottom</wp:align>
              </wp:positionV>
              <wp:extent cx="459740" cy="368935"/>
              <wp:effectExtent l="0" t="0" r="16510" b="0"/>
              <wp:wrapNone/>
              <wp:docPr id="2099808469"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89A5E40" w14:textId="351EA0FB" w:rsidR="00E934FA" w:rsidRPr="00E934FA" w:rsidRDefault="00E934FA" w:rsidP="00E934FA">
                          <w:pPr>
                            <w:spacing w:after="0"/>
                            <w:rPr>
                              <w:rFonts w:ascii="Calibri" w:eastAsia="Calibri" w:hAnsi="Calibri" w:cs="Calibri"/>
                              <w:noProof/>
                              <w:color w:val="000000"/>
                              <w:sz w:val="20"/>
                              <w:szCs w:val="20"/>
                            </w:rPr>
                          </w:pPr>
                          <w:r w:rsidRPr="00E934F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CCD10B" id="_x0000_t202" coordsize="21600,21600" o:spt="202" path="m,l,21600r21600,l21600,xe">
              <v:stroke joinstyle="miter"/>
              <v:path gradientshapeok="t" o:connecttype="rect"/>
            </v:shapetype>
            <v:shape id="Text Box 1" o:spid="_x0000_s1028"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" filled="f" stroked="f">
              <v:fill o:detectmouseclick="t"/>
              <v:textbox style="mso-fit-shape-to-text:t" inset="0,0,0,15pt">
                <w:txbxContent>
                  <w:p w14:paraId="589A5E40" w14:textId="351EA0FB" w:rsidR="00E934FA" w:rsidRPr="00E934FA" w:rsidRDefault="00E934FA" w:rsidP="00E934FA">
                    <w:pPr>
                      <w:spacing w:after="0"/>
                      <w:rPr>
                        <w:rFonts w:ascii="Calibri" w:eastAsia="Calibri" w:hAnsi="Calibri" w:cs="Calibri"/>
                        <w:noProof/>
                        <w:color w:val="000000"/>
                        <w:sz w:val="20"/>
                        <w:szCs w:val="20"/>
                      </w:rPr>
                    </w:pPr>
                    <w:r w:rsidRPr="00E934FA">
                      <w:rPr>
                        <w:rFonts w:ascii="Calibri" w:eastAsia="Calibri" w:hAnsi="Calibri" w:cs="Calibri"/>
                        <w:noProof/>
                        <w:color w:val="000000"/>
                        <w:sz w:val="20"/>
                        <w:szCs w:val="20"/>
                      </w:rPr>
                      <w:t>OFFICIAL</w:t>
                    </w:r>
                  </w:p>
                </w:txbxContent>
              </v:textbox>
              <w10:wrap anchorx="page" anchory="page"/>
            </v:shape>
          </w:pict>
        </mc:Fallback>
      </mc:AlternateContent>
    </w:r>
  </w:p>
  <w:p w14:paraId="1F985FF2"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33A5942B"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7231F382"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B9C93" w14:textId="77777777" w:rsidR="006911E5" w:rsidRDefault="006911E5">
      <w:pPr>
        <w:spacing w:after="0" w:line="240" w:lineRule="auto"/>
      </w:pPr>
      <w:r>
        <w:separator/>
      </w:r>
    </w:p>
  </w:footnote>
  <w:footnote w:type="continuationSeparator" w:id="0">
    <w:p w14:paraId="25CC32F1" w14:textId="77777777" w:rsidR="006911E5" w:rsidRDefault="00691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CF311"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7365C31E"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21FB3E20"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3E8B1E94" w14:textId="77777777"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48345753">
    <w:abstractNumId w:val="5"/>
  </w:num>
  <w:num w:numId="2" w16cid:durableId="1662195412">
    <w:abstractNumId w:val="1"/>
  </w:num>
  <w:num w:numId="3" w16cid:durableId="443691660">
    <w:abstractNumId w:val="3"/>
  </w:num>
  <w:num w:numId="4" w16cid:durableId="1949893014">
    <w:abstractNumId w:val="5"/>
  </w:num>
  <w:num w:numId="5" w16cid:durableId="956058743">
    <w:abstractNumId w:val="0"/>
  </w:num>
  <w:num w:numId="6" w16cid:durableId="1829323850">
    <w:abstractNumId w:val="5"/>
  </w:num>
  <w:num w:numId="7" w16cid:durableId="1024331846">
    <w:abstractNumId w:val="5"/>
  </w:num>
  <w:num w:numId="8" w16cid:durableId="1709138681">
    <w:abstractNumId w:val="2"/>
  </w:num>
  <w:num w:numId="9" w16cid:durableId="646130851">
    <w:abstractNumId w:val="5"/>
  </w:num>
  <w:num w:numId="10" w16cid:durableId="1457527287">
    <w:abstractNumId w:val="5"/>
  </w:num>
  <w:num w:numId="11" w16cid:durableId="6618516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B6E9C"/>
    <w:rsid w:val="002C185E"/>
    <w:rsid w:val="002E6A5D"/>
    <w:rsid w:val="003337E6"/>
    <w:rsid w:val="00364E91"/>
    <w:rsid w:val="00521981"/>
    <w:rsid w:val="00580A08"/>
    <w:rsid w:val="005A3F67"/>
    <w:rsid w:val="006911E5"/>
    <w:rsid w:val="006C4CF6"/>
    <w:rsid w:val="006F4976"/>
    <w:rsid w:val="00711F0E"/>
    <w:rsid w:val="00850CE2"/>
    <w:rsid w:val="008B613F"/>
    <w:rsid w:val="00971AA8"/>
    <w:rsid w:val="00972DE8"/>
    <w:rsid w:val="00982DE5"/>
    <w:rsid w:val="009A2F4A"/>
    <w:rsid w:val="00A32DDF"/>
    <w:rsid w:val="00A46384"/>
    <w:rsid w:val="00BA5C74"/>
    <w:rsid w:val="00C6337E"/>
    <w:rsid w:val="00CD140D"/>
    <w:rsid w:val="00D417E2"/>
    <w:rsid w:val="00E13C6E"/>
    <w:rsid w:val="00E644F8"/>
    <w:rsid w:val="00E77F5A"/>
    <w:rsid w:val="00E934F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F1810C9"/>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2935</Words>
  <Characters>16735</Characters>
  <Application>Microsoft Office Word</Application>
  <DocSecurity>4</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Bradley, Fintan (Commercial)</cp:lastModifiedBy>
  <cp:revision>2</cp:revision>
  <dcterms:created xsi:type="dcterms:W3CDTF">2025-09-15T15:29:00Z</dcterms:created>
  <dcterms:modified xsi:type="dcterms:W3CDTF">2025-09-15T15:29:00Z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lassificationContentMarkingFooterShapeIds">
    <vt:lpwstr>7d2888d5,34293f71,1c2d11f8</vt:lpwstr>
  </property>
  <property fmtid="{D5CDD505-2E9C-101B-9397-08002B2CF9AE}" pid="8" name="ClassificationContentMarkingFooterFontProps">
    <vt:lpwstr>#000000,10,Calibri</vt:lpwstr>
  </property>
  <property fmtid="{D5CDD505-2E9C-101B-9397-08002B2CF9AE}" pid="9" name="ClassificationContentMarkingFooterText">
    <vt:lpwstr>OFFICIAL</vt:lpwstr>
  </property>
  <property fmtid="{D5CDD505-2E9C-101B-9397-08002B2CF9AE}" pid="10" name="MSIP_Label_f9af038e-07b4-4369-a678-c835687cb272_Enabled">
    <vt:lpwstr>true</vt:lpwstr>
  </property>
  <property fmtid="{D5CDD505-2E9C-101B-9397-08002B2CF9AE}" pid="11" name="MSIP_Label_f9af038e-07b4-4369-a678-c835687cb272_SetDate">
    <vt:lpwstr>2025-09-15T15:29:39Z</vt:lpwstr>
  </property>
  <property fmtid="{D5CDD505-2E9C-101B-9397-08002B2CF9AE}" pid="12" name="MSIP_Label_f9af038e-07b4-4369-a678-c835687cb272_Method">
    <vt:lpwstr>Standard</vt:lpwstr>
  </property>
  <property fmtid="{D5CDD505-2E9C-101B-9397-08002B2CF9AE}" pid="13" name="MSIP_Label_f9af038e-07b4-4369-a678-c835687cb272_Name">
    <vt:lpwstr>OFFICIAL</vt:lpwstr>
  </property>
  <property fmtid="{D5CDD505-2E9C-101B-9397-08002B2CF9AE}" pid="14" name="MSIP_Label_f9af038e-07b4-4369-a678-c835687cb272_SiteId">
    <vt:lpwstr>ac52f73c-fd1a-4a9a-8e7a-4a248f3139e1</vt:lpwstr>
  </property>
  <property fmtid="{D5CDD505-2E9C-101B-9397-08002B2CF9AE}" pid="15" name="MSIP_Label_f9af038e-07b4-4369-a678-c835687cb272_ActionId">
    <vt:lpwstr>ddc0973b-421b-4214-bdcb-3ab0b849f67d</vt:lpwstr>
  </property>
  <property fmtid="{D5CDD505-2E9C-101B-9397-08002B2CF9AE}" pid="16" name="MSIP_Label_f9af038e-07b4-4369-a678-c835687cb272_ContentBits">
    <vt:lpwstr>2</vt:lpwstr>
  </property>
  <property fmtid="{D5CDD505-2E9C-101B-9397-08002B2CF9AE}" pid="17" name="MSIP_Label_f9af038e-07b4-4369-a678-c835687cb272_Tag">
    <vt:lpwstr>10, 3, 0, 1</vt:lpwstr>
  </property>
</Properties>
</file>